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BA34" w14:textId="3E603B81" w:rsidR="004B1C0C" w:rsidRDefault="00D2779A" w:rsidP="00554614">
      <w:pPr>
        <w:pStyle w:val="LO-normal"/>
        <w:widowControl w:val="0"/>
        <w:tabs>
          <w:tab w:val="left" w:pos="1049"/>
        </w:tabs>
        <w:spacing w:after="0" w:line="240" w:lineRule="auto"/>
        <w:ind w:right="85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Fichas técnicas de Equipos</w:t>
      </w:r>
    </w:p>
    <w:p w14:paraId="5D9F2BCD" w14:textId="77777777" w:rsidR="00554614" w:rsidRDefault="00554614" w:rsidP="00554614">
      <w:pPr>
        <w:pStyle w:val="LO-normal"/>
        <w:widowControl w:val="0"/>
        <w:tabs>
          <w:tab w:val="left" w:pos="1049"/>
        </w:tabs>
        <w:spacing w:after="0" w:line="240" w:lineRule="auto"/>
        <w:ind w:right="850"/>
        <w:jc w:val="center"/>
        <w:rPr>
          <w:rFonts w:ascii="Arial" w:eastAsia="Arial" w:hAnsi="Arial" w:cs="Arial"/>
          <w:b/>
          <w:color w:val="000000"/>
        </w:rPr>
      </w:pPr>
    </w:p>
    <w:p w14:paraId="7ED9BA37" w14:textId="77777777" w:rsidR="004B1C0C" w:rsidRDefault="00D2779A" w:rsidP="00554614">
      <w:pPr>
        <w:pStyle w:val="LO-normal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222222"/>
          <w:highlight w:val="white"/>
        </w:rPr>
        <w:t>Ficha técnica de m</w:t>
      </w:r>
      <w:r>
        <w:rPr>
          <w:rFonts w:ascii="Arial" w:eastAsia="Arial" w:hAnsi="Arial" w:cs="Arial"/>
          <w:b/>
          <w:color w:val="000000"/>
        </w:rPr>
        <w:t>áscara</w:t>
      </w:r>
      <w:r>
        <w:rPr>
          <w:rFonts w:ascii="Arial" w:eastAsia="Arial" w:hAnsi="Arial" w:cs="Arial"/>
          <w:b/>
          <w:color w:val="222222"/>
          <w:highlight w:val="white"/>
        </w:rPr>
        <w:t xml:space="preserve"> para protección facial (Careta).</w:t>
      </w:r>
    </w:p>
    <w:p w14:paraId="7ED9BA38" w14:textId="77777777" w:rsidR="004B1C0C" w:rsidRDefault="004B1C0C" w:rsidP="00554614">
      <w:pPr>
        <w:pStyle w:val="LO-normal"/>
        <w:spacing w:after="0" w:line="240" w:lineRule="auto"/>
        <w:ind w:left="1080"/>
        <w:jc w:val="both"/>
        <w:rPr>
          <w:rFonts w:ascii="Arial" w:eastAsia="Arial" w:hAnsi="Arial" w:cs="Arial"/>
          <w:b/>
          <w:color w:val="222222"/>
          <w:highlight w:val="white"/>
        </w:rPr>
      </w:pPr>
    </w:p>
    <w:p w14:paraId="7ED9BA39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Carreta de protección al rostro completo, desde la frente hasta la barbilla y entrono lateral de la cara, con seguridad contra salpicaduras o </w:t>
      </w:r>
      <w:r>
        <w:rPr>
          <w:rFonts w:ascii="Arial" w:eastAsia="Arial" w:hAnsi="Arial" w:cs="Arial"/>
          <w:color w:val="222222"/>
          <w:highlight w:val="white"/>
        </w:rPr>
        <w:t>partículas.</w:t>
      </w:r>
    </w:p>
    <w:p w14:paraId="7ED9BA3A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 Materiales: policarbonato, acetato u otro material resistente y flexible, debe permitir cubrir el entorno de la cara.</w:t>
      </w:r>
    </w:p>
    <w:p w14:paraId="7ED9BA3B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 Aspectos de diseño y ajuste</w:t>
      </w:r>
    </w:p>
    <w:p w14:paraId="7ED9BA3C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De permitir una fácil colocación</w:t>
      </w:r>
    </w:p>
    <w:p w14:paraId="7ED9BA3D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Debe ajustarse a diferentes diámetros de cabeza</w:t>
      </w:r>
    </w:p>
    <w:p w14:paraId="7ED9BA3E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Debe permitir l</w:t>
      </w:r>
      <w:r>
        <w:rPr>
          <w:rFonts w:ascii="Arial" w:eastAsia="Arial" w:hAnsi="Arial" w:cs="Arial"/>
          <w:color w:val="222222"/>
          <w:highlight w:val="white"/>
        </w:rPr>
        <w:t>os movimientos naturales de la cabeza, flexión,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laterización, extensión del cuello con libertad.</w:t>
      </w:r>
    </w:p>
    <w:p w14:paraId="7ED9BA3F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No se debe empañar al utilizarla</w:t>
      </w:r>
    </w:p>
    <w:p w14:paraId="7ED9BA40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No debe tener puntos de presión en la frente, cabeza, mentón o cuello.</w:t>
      </w:r>
    </w:p>
    <w:p w14:paraId="7ED9BA41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No debe tener elementos salientes o cortantes en contac</w:t>
      </w:r>
      <w:r>
        <w:rPr>
          <w:rFonts w:ascii="Arial" w:eastAsia="Arial" w:hAnsi="Arial" w:cs="Arial"/>
          <w:color w:val="222222"/>
          <w:highlight w:val="white"/>
        </w:rPr>
        <w:t>to con la cabeza o frente.</w:t>
      </w:r>
    </w:p>
    <w:p w14:paraId="7ED9BA42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Debe ser liviano.</w:t>
      </w:r>
    </w:p>
    <w:p w14:paraId="7ED9BA43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Largo 23+/-1 cm</w:t>
      </w:r>
    </w:p>
    <w:p w14:paraId="7ED9BA44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 Ancho no menor de 31cm</w:t>
      </w:r>
    </w:p>
    <w:p w14:paraId="7ED9BA45" w14:textId="77777777" w:rsidR="004B1C0C" w:rsidRDefault="00D2779A" w:rsidP="00554614">
      <w:pPr>
        <w:pStyle w:val="LO-normal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Sistema de sujeción debe contar con un sistema de ajuste.</w:t>
      </w:r>
    </w:p>
    <w:p w14:paraId="7ED9BA46" w14:textId="77777777" w:rsidR="004B1C0C" w:rsidRDefault="004B1C0C" w:rsidP="00554614">
      <w:pPr>
        <w:pStyle w:val="LO-normal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14:paraId="10FEBBAF" w14:textId="77777777" w:rsidR="00425F14" w:rsidRDefault="00425F14" w:rsidP="00554614">
      <w:pPr>
        <w:spacing w:after="0" w:line="24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br w:type="page"/>
      </w:r>
    </w:p>
    <w:p w14:paraId="7ED9BA55" w14:textId="350B63C1" w:rsidR="004B1C0C" w:rsidRDefault="00D2779A" w:rsidP="00554614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lastRenderedPageBreak/>
        <w:t>Ficha técnica de mascarilla Higiénica de tela reutilizable.</w:t>
      </w:r>
    </w:p>
    <w:p w14:paraId="7ED9BA57" w14:textId="77777777" w:rsidR="004B1C0C" w:rsidRDefault="004B1C0C" w:rsidP="00554614">
      <w:pPr>
        <w:pStyle w:val="LO-normal"/>
        <w:widowControl w:val="0"/>
        <w:tabs>
          <w:tab w:val="left" w:pos="1049"/>
        </w:tabs>
        <w:spacing w:after="0" w:line="240" w:lineRule="auto"/>
        <w:ind w:right="850"/>
        <w:jc w:val="both"/>
        <w:rPr>
          <w:rFonts w:ascii="Arial" w:eastAsia="Arial" w:hAnsi="Arial" w:cs="Arial"/>
          <w:b/>
          <w:color w:val="000000"/>
        </w:rPr>
      </w:pPr>
    </w:p>
    <w:p w14:paraId="7ED9BA58" w14:textId="5C6ECA86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Color por definir </w:t>
      </w:r>
      <w:r>
        <w:rPr>
          <w:rFonts w:ascii="Arial" w:eastAsia="Arial" w:hAnsi="Arial" w:cs="Arial"/>
          <w:color w:val="222222"/>
          <w:highlight w:val="white"/>
        </w:rPr>
        <w:t xml:space="preserve">por </w:t>
      </w:r>
      <w:r>
        <w:rPr>
          <w:rFonts w:ascii="Arial" w:eastAsia="Arial" w:hAnsi="Arial" w:cs="Arial"/>
          <w:color w:val="222222"/>
          <w:highlight w:val="white"/>
        </w:rPr>
        <w:t>interés institucional</w:t>
      </w:r>
    </w:p>
    <w:p w14:paraId="7ED9BA59" w14:textId="6E8F6438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Integrada por dos capas,</w:t>
      </w:r>
      <w:r>
        <w:rPr>
          <w:rFonts w:ascii="Arial" w:eastAsia="Arial" w:hAnsi="Arial" w:cs="Arial"/>
          <w:color w:val="222222"/>
          <w:highlight w:val="white"/>
        </w:rPr>
        <w:t xml:space="preserve"> de </w:t>
      </w:r>
      <w:r>
        <w:rPr>
          <w:rFonts w:ascii="Arial" w:eastAsia="Arial" w:hAnsi="Arial" w:cs="Arial"/>
          <w:color w:val="222222"/>
          <w:highlight w:val="white"/>
        </w:rPr>
        <w:t>tela, una capa de algodón y una impermeable</w:t>
      </w:r>
      <w:r>
        <w:rPr>
          <w:rFonts w:ascii="Arial" w:eastAsia="Arial" w:hAnsi="Arial" w:cs="Arial"/>
          <w:color w:val="222222"/>
        </w:rPr>
        <w:t xml:space="preserve"> externa,</w:t>
      </w:r>
      <w:r>
        <w:rPr>
          <w:rFonts w:ascii="Arial" w:hAnsi="Arial" w:cs="Arial"/>
        </w:rPr>
        <w:t xml:space="preserve"> utilizar materiales reutilizables que en contacto con la piel del usuario no presenten riesgos</w:t>
      </w:r>
      <w:r>
        <w:rPr>
          <w:rFonts w:ascii="Arial" w:eastAsia="Arial" w:hAnsi="Arial" w:cs="Arial"/>
          <w:color w:val="222222"/>
        </w:rPr>
        <w:t xml:space="preserve"> c</w:t>
      </w:r>
      <w:r>
        <w:rPr>
          <w:rFonts w:ascii="Arial" w:hAnsi="Arial" w:cs="Arial"/>
        </w:rPr>
        <w:t>onocidos de irritación o efectos adversos para la salud</w:t>
      </w:r>
      <w:r>
        <w:rPr>
          <w:rFonts w:ascii="Arial" w:hAnsi="Arial" w:cs="Arial"/>
        </w:rPr>
        <w:t>.</w:t>
      </w:r>
    </w:p>
    <w:p w14:paraId="7ED9BA5A" w14:textId="77777777" w:rsidR="004B1C0C" w:rsidRDefault="00D2779A" w:rsidP="00554614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Material para los vivos: </w:t>
      </w:r>
      <w:r>
        <w:rPr>
          <w:rFonts w:ascii="Arial" w:eastAsiaTheme="minorHAnsi" w:hAnsi="Arial" w:cs="Arial"/>
          <w:lang w:eastAsia="en-US"/>
        </w:rPr>
        <w:t>Se deben utilizar materiales de composición similar a los materiales que componen el cuerpo de la mascarilla y si se considera necesario para su ajuste a la cara tira twist (pinza nasal).</w:t>
      </w:r>
    </w:p>
    <w:p w14:paraId="7ED9BA5B" w14:textId="77777777" w:rsidR="004B1C0C" w:rsidRDefault="00D2779A" w:rsidP="00554614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Material para los arneses de cabeza: </w:t>
      </w:r>
      <w:r>
        <w:rPr>
          <w:rFonts w:ascii="Arial" w:eastAsiaTheme="minorHAnsi" w:hAnsi="Arial" w:cs="Arial"/>
          <w:lang w:eastAsia="en-US"/>
        </w:rPr>
        <w:t xml:space="preserve">Las </w:t>
      </w:r>
      <w:r>
        <w:rPr>
          <w:rFonts w:ascii="Arial" w:eastAsiaTheme="minorHAnsi" w:hAnsi="Arial" w:cs="Arial"/>
          <w:lang w:eastAsia="en-US"/>
        </w:rPr>
        <w:t>mascarillas higiénicas se deben sujetar a la cabeza o a las orejas mediante una banda, cinta o cordón.</w:t>
      </w:r>
    </w:p>
    <w:p w14:paraId="7ED9BA5C" w14:textId="77777777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Resistente al paso de fluidos</w:t>
      </w:r>
    </w:p>
    <w:p w14:paraId="7ED9BA5D" w14:textId="77777777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No debe limitar la respiración normal, </w:t>
      </w:r>
      <w:r>
        <w:rPr>
          <w:rFonts w:ascii="Arial" w:hAnsi="Arial" w:cs="Arial"/>
        </w:rPr>
        <w:t>estar confeccionadas con material reutilizable que permita la respiración.</w:t>
      </w:r>
    </w:p>
    <w:p w14:paraId="7ED9BA5E" w14:textId="77777777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No despre</w:t>
      </w:r>
      <w:r>
        <w:rPr>
          <w:rFonts w:ascii="Arial" w:eastAsia="Arial" w:hAnsi="Arial" w:cs="Arial"/>
          <w:color w:val="222222"/>
        </w:rPr>
        <w:t>nde pelusa por efectos mecánicos de la respiración.</w:t>
      </w:r>
    </w:p>
    <w:p w14:paraId="7ED9BA5F" w14:textId="77777777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Debe cubrir la boca,</w:t>
      </w:r>
      <w:r>
        <w:rPr>
          <w:rFonts w:ascii="Arial" w:hAnsi="Arial" w:cs="Arial"/>
        </w:rPr>
        <w:t xml:space="preserve"> nariz y barbilla.</w:t>
      </w:r>
    </w:p>
    <w:p w14:paraId="7ED9BA60" w14:textId="77777777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</w:rPr>
        <w:t>Hipoalérgénica</w:t>
      </w:r>
      <w:proofErr w:type="spellEnd"/>
      <w:r>
        <w:rPr>
          <w:rFonts w:ascii="Arial" w:eastAsia="Arial" w:hAnsi="Arial" w:cs="Arial"/>
          <w:color w:val="222222"/>
        </w:rPr>
        <w:t xml:space="preserve"> y libre de látex</w:t>
      </w:r>
    </w:p>
    <w:p w14:paraId="7ED9BA61" w14:textId="77777777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El año de fabricación debe ser 2020 o año en curso.</w:t>
      </w:r>
    </w:p>
    <w:p w14:paraId="7ED9BA62" w14:textId="27641CDC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Dimensiones debe ajustarse a las dimensiones de </w:t>
      </w:r>
      <w:r w:rsidR="00425F14">
        <w:rPr>
          <w:rFonts w:ascii="Arial" w:eastAsia="Arial" w:hAnsi="Arial" w:cs="Arial"/>
          <w:color w:val="222222"/>
        </w:rPr>
        <w:t>las medidas</w:t>
      </w:r>
      <w:r>
        <w:rPr>
          <w:rFonts w:ascii="Arial" w:eastAsia="Arial" w:hAnsi="Arial" w:cs="Arial"/>
          <w:color w:val="222222"/>
        </w:rPr>
        <w:t xml:space="preserve"> para adulto citadas en la norma </w:t>
      </w:r>
      <w:r>
        <w:rPr>
          <w:rFonts w:ascii="Arial" w:hAnsi="Arial" w:cs="Arial"/>
        </w:rPr>
        <w:t xml:space="preserve">INTE ES S80:2020 </w:t>
      </w:r>
    </w:p>
    <w:p w14:paraId="7ED9BA63" w14:textId="30BB3377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Debe disponer de 3 dobleces como mínimo que permiten su ajuste, </w:t>
      </w:r>
      <w:r>
        <w:rPr>
          <w:rFonts w:ascii="Arial" w:hAnsi="Arial" w:cs="Arial"/>
        </w:rPr>
        <w:t>garantizar un ajuste adecuado con la cara.</w:t>
      </w:r>
    </w:p>
    <w:p w14:paraId="7ED9BA64" w14:textId="18B223A4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 xml:space="preserve">Con sistema de sujeción mediante arnés </w:t>
      </w:r>
      <w:r>
        <w:rPr>
          <w:rFonts w:ascii="Arial" w:eastAsia="Arial" w:hAnsi="Arial" w:cs="Arial"/>
          <w:color w:val="222222"/>
        </w:rPr>
        <w:t xml:space="preserve">de cabeza </w:t>
      </w:r>
      <w:r>
        <w:rPr>
          <w:rFonts w:ascii="Arial" w:eastAsia="Arial" w:hAnsi="Arial" w:cs="Arial"/>
          <w:color w:val="222222"/>
        </w:rPr>
        <w:t xml:space="preserve">dos bandas citadas en la norma </w:t>
      </w:r>
      <w:r>
        <w:rPr>
          <w:rFonts w:ascii="Arial" w:hAnsi="Arial" w:cs="Arial"/>
        </w:rPr>
        <w:t>INTE ES S80:2020</w:t>
      </w:r>
    </w:p>
    <w:p w14:paraId="7ED9BA65" w14:textId="77777777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Debe aportar informe de control de calidad del fabricante, en español, firmado por el profesional responsable indicando: Fabricante y materiales de fabricación.</w:t>
      </w:r>
    </w:p>
    <w:p w14:paraId="7ED9BA67" w14:textId="14047F54" w:rsidR="004B1C0C" w:rsidRPr="00425F14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Incluir instrucciones que indiquen </w:t>
      </w:r>
      <w:r>
        <w:rPr>
          <w:rFonts w:ascii="Arial" w:hAnsi="Arial" w:cs="Arial"/>
        </w:rPr>
        <w:t>el método de lavado y el número de ciclos para los cuales el fabricante ha demostrado la conservación del rendimiento.</w:t>
      </w:r>
    </w:p>
    <w:p w14:paraId="7ED9BA68" w14:textId="5823E6E2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222222"/>
        </w:rPr>
        <w:t xml:space="preserve">El fabricante debe cumplir presentar declaración jurada </w:t>
      </w:r>
      <w:r w:rsidR="00425F14">
        <w:rPr>
          <w:rFonts w:ascii="Arial" w:eastAsia="Arial" w:hAnsi="Arial" w:cs="Arial"/>
          <w:color w:val="222222"/>
        </w:rPr>
        <w:t>que el</w:t>
      </w:r>
      <w:r>
        <w:rPr>
          <w:rFonts w:ascii="Arial" w:eastAsia="Arial" w:hAnsi="Arial" w:cs="Arial"/>
          <w:color w:val="222222"/>
        </w:rPr>
        <w:t xml:space="preserve"> producto cumple con: </w:t>
      </w:r>
      <w:r>
        <w:rPr>
          <w:rFonts w:ascii="Arial" w:hAnsi="Arial" w:cs="Arial"/>
        </w:rPr>
        <w:t>INTE ES S80:2020 Mascarillas higiénicas reutilizabl</w:t>
      </w:r>
      <w:r>
        <w:rPr>
          <w:rFonts w:ascii="Arial" w:hAnsi="Arial" w:cs="Arial"/>
        </w:rPr>
        <w:t>es para adultos y niños. Requisitos de materiales, diseño, confección, etiquetado y uso.</w:t>
      </w:r>
    </w:p>
    <w:p w14:paraId="7ED9BA6A" w14:textId="6CBEC06C" w:rsidR="004B1C0C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 xml:space="preserve">El fabricante debe cumplir presentar declaración jurada </w:t>
      </w:r>
      <w:r w:rsidR="00425F14">
        <w:rPr>
          <w:rFonts w:ascii="Arial" w:eastAsia="Arial" w:hAnsi="Arial" w:cs="Arial"/>
          <w:color w:val="222222"/>
        </w:rPr>
        <w:t>que el</w:t>
      </w:r>
      <w:r>
        <w:rPr>
          <w:rFonts w:ascii="Arial" w:eastAsia="Arial" w:hAnsi="Arial" w:cs="Arial"/>
          <w:color w:val="222222"/>
        </w:rPr>
        <w:t xml:space="preserve"> producto cumple lineamientos del ministerio de salud en materia de mascarillas </w:t>
      </w:r>
      <w:r w:rsidR="00425F14">
        <w:rPr>
          <w:rFonts w:ascii="Arial" w:eastAsia="Arial" w:hAnsi="Arial" w:cs="Arial"/>
          <w:color w:val="222222"/>
        </w:rPr>
        <w:t>higiénicas</w:t>
      </w:r>
      <w:r>
        <w:rPr>
          <w:rFonts w:ascii="Arial" w:eastAsia="Arial" w:hAnsi="Arial" w:cs="Arial"/>
          <w:color w:val="222222"/>
        </w:rPr>
        <w:t>.</w:t>
      </w:r>
    </w:p>
    <w:p w14:paraId="7ED9BA6C" w14:textId="30C64B9E" w:rsidR="00BD57B0" w:rsidRDefault="00D2779A" w:rsidP="00554614">
      <w:pPr>
        <w:pStyle w:val="LO-normal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</w:rPr>
        <w:t>caso de duda de los materiales la UCR se reserva el realizar las pruebas de laboratorio que considere.</w:t>
      </w:r>
      <w:r w:rsidR="00BD57B0">
        <w:rPr>
          <w:rFonts w:ascii="Arial" w:hAnsi="Arial" w:cs="Arial"/>
          <w:color w:val="000000"/>
        </w:rPr>
        <w:br w:type="page"/>
      </w:r>
    </w:p>
    <w:p w14:paraId="7ED9BA72" w14:textId="6130AED0" w:rsidR="004B1C0C" w:rsidRDefault="00D2779A" w:rsidP="00554614">
      <w:pPr>
        <w:pStyle w:val="LO-normal"/>
        <w:spacing w:after="0" w:line="240" w:lineRule="auto"/>
        <w:jc w:val="both"/>
        <w:rPr>
          <w:rFonts w:ascii="Arial" w:hAnsi="Arial" w:cs="Arial"/>
        </w:rPr>
      </w:pPr>
      <w:r w:rsidRPr="005172FE">
        <w:rPr>
          <w:rFonts w:ascii="Arial" w:eastAsia="Arial" w:hAnsi="Arial" w:cs="Arial"/>
          <w:b/>
          <w:color w:val="222222"/>
        </w:rPr>
        <w:lastRenderedPageBreak/>
        <w:t xml:space="preserve">Ficha técnica de respirador homologado N95 o FFT2 libre de mantenimiento </w:t>
      </w:r>
      <w:r w:rsidRPr="005172FE">
        <w:rPr>
          <w:rFonts w:ascii="Arial" w:eastAsia="Arial" w:hAnsi="Arial" w:cs="Arial"/>
          <w:b/>
          <w:color w:val="222222"/>
        </w:rPr>
        <w:t xml:space="preserve">(reutilizable) </w:t>
      </w:r>
      <w:r w:rsidRPr="005172FE">
        <w:rPr>
          <w:rFonts w:ascii="Arial" w:eastAsia="Arial" w:hAnsi="Arial" w:cs="Arial"/>
          <w:b/>
          <w:color w:val="222222"/>
        </w:rPr>
        <w:t>para protección de partículas suspendidas y salpicadu</w:t>
      </w:r>
      <w:r w:rsidRPr="005172FE">
        <w:rPr>
          <w:rFonts w:ascii="Arial" w:eastAsia="Arial" w:hAnsi="Arial" w:cs="Arial"/>
          <w:b/>
          <w:color w:val="222222"/>
        </w:rPr>
        <w:t xml:space="preserve">ras de </w:t>
      </w:r>
      <w:r>
        <w:rPr>
          <w:rFonts w:ascii="Arial" w:eastAsia="Arial" w:hAnsi="Arial" w:cs="Arial"/>
          <w:b/>
          <w:color w:val="222222"/>
          <w:highlight w:val="white"/>
        </w:rPr>
        <w:t>fluidos corporales de hasta 0.3 micras</w:t>
      </w:r>
      <w:r>
        <w:rPr>
          <w:rFonts w:ascii="Arial" w:eastAsia="Arial" w:hAnsi="Arial" w:cs="Arial"/>
          <w:b/>
          <w:color w:val="222222"/>
        </w:rPr>
        <w:t>.</w:t>
      </w:r>
    </w:p>
    <w:p w14:paraId="7ED9BA73" w14:textId="77777777" w:rsidR="004B1C0C" w:rsidRDefault="004B1C0C" w:rsidP="00554614">
      <w:pPr>
        <w:pStyle w:val="LO-normal"/>
        <w:spacing w:after="0" w:line="240" w:lineRule="auto"/>
        <w:ind w:left="720"/>
        <w:jc w:val="both"/>
        <w:rPr>
          <w:rFonts w:ascii="Arial" w:eastAsia="Arial" w:hAnsi="Arial" w:cs="Arial"/>
          <w:color w:val="222222"/>
        </w:rPr>
      </w:pPr>
    </w:p>
    <w:p w14:paraId="7ED9BA75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Con capacidad de filtrado contra material participado y agentes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biológicos.</w:t>
      </w:r>
    </w:p>
    <w:p w14:paraId="7ED9BA76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Eficiencia de filtrado de 95% de las partículas has de 0.3micras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de tamaño.</w:t>
      </w:r>
    </w:p>
    <w:p w14:paraId="7ED9BA77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347C51">
        <w:rPr>
          <w:rFonts w:ascii="Arial" w:eastAsia="Arial" w:hAnsi="Arial" w:cs="Arial"/>
          <w:color w:val="222222"/>
        </w:rPr>
        <w:t xml:space="preserve">El respirador </w:t>
      </w:r>
      <w:r w:rsidRPr="00347C51">
        <w:rPr>
          <w:rFonts w:ascii="Arial" w:eastAsia="Arial" w:hAnsi="Arial" w:cs="Arial"/>
          <w:color w:val="222222"/>
        </w:rPr>
        <w:t>debe cubrir nariz, boca y mentón.</w:t>
      </w:r>
    </w:p>
    <w:p w14:paraId="7ED9BA78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347C51">
        <w:rPr>
          <w:rFonts w:ascii="Arial" w:eastAsia="Arial" w:hAnsi="Arial" w:cs="Arial"/>
          <w:color w:val="222222"/>
        </w:rPr>
        <w:t>Con almohadilla nasal de poliuretano.</w:t>
      </w:r>
    </w:p>
    <w:p w14:paraId="7ED9BA79" w14:textId="7AD78298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Ajuste anatómico, con forma convexa y clip nasal de aluminio que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permita el ajuste facial y </w:t>
      </w:r>
      <w:r w:rsidRPr="00347C51">
        <w:rPr>
          <w:rFonts w:ascii="Arial" w:eastAsia="Arial" w:hAnsi="Arial" w:cs="Arial"/>
          <w:color w:val="222222"/>
        </w:rPr>
        <w:t>genere sello.</w:t>
      </w:r>
    </w:p>
    <w:p w14:paraId="7ED9BA7A" w14:textId="7A3A1183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Debe disponer de dos bandas elásticas de ajuste graduable para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asegurar el a</w:t>
      </w:r>
      <w:r w:rsidRPr="00347C51">
        <w:rPr>
          <w:rFonts w:ascii="Arial" w:eastAsia="Arial" w:hAnsi="Arial" w:cs="Arial"/>
          <w:color w:val="222222"/>
        </w:rPr>
        <w:t>juste y sello.</w:t>
      </w:r>
    </w:p>
    <w:p w14:paraId="7ED9BA7B" w14:textId="20BED863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347C51">
        <w:rPr>
          <w:rFonts w:ascii="Arial" w:eastAsia="Arial" w:hAnsi="Arial" w:cs="Arial"/>
          <w:color w:val="222222"/>
        </w:rPr>
        <w:t>Hipoalergénica y libre de látex.</w:t>
      </w:r>
    </w:p>
    <w:p w14:paraId="7ED9BA7C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Debe disponer una vida útil de al menos 2 años, a partir de la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fecha de fabricación</w:t>
      </w:r>
    </w:p>
    <w:p w14:paraId="7ED9BA7D" w14:textId="548002F0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Debe indicar mediante ficha del producto condiciones de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almacenamiento, indicaciones de colocación y </w:t>
      </w:r>
      <w:r w:rsidRPr="00347C51">
        <w:rPr>
          <w:rFonts w:ascii="Arial" w:eastAsia="Arial" w:hAnsi="Arial" w:cs="Arial"/>
          <w:color w:val="222222"/>
        </w:rPr>
        <w:t>retiro.</w:t>
      </w:r>
    </w:p>
    <w:p w14:paraId="7ED9BA7E" w14:textId="4DFD9B23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Debe cumpli</w:t>
      </w:r>
      <w:r w:rsidRPr="00347C51">
        <w:rPr>
          <w:rFonts w:ascii="Arial" w:eastAsia="Arial" w:hAnsi="Arial" w:cs="Arial"/>
          <w:color w:val="222222"/>
        </w:rPr>
        <w:t>r con Prueba cualitativa de </w:t>
      </w:r>
      <w:r w:rsidRPr="00347C51">
        <w:rPr>
          <w:rFonts w:ascii="Arial" w:eastAsia="Arial" w:hAnsi="Arial" w:cs="Arial"/>
          <w:color w:val="222222"/>
        </w:rPr>
        <w:t>ajuste.</w:t>
      </w:r>
      <w:r w:rsidR="00554614">
        <w:rPr>
          <w:rFonts w:ascii="Arial" w:eastAsia="Arial" w:hAnsi="Arial" w:cs="Arial"/>
          <w:color w:val="222222"/>
        </w:rPr>
        <w:t xml:space="preserve"> 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Certificación del Instituto de Salud y Seguridad Ocupacional (NIOSH) de Estados Unidos del cumplimiento de estándar de N95 de la norma 42CFR84 o su equivalente UNE-EN-149-:2001 Clase FFTP2</w:t>
      </w:r>
    </w:p>
    <w:p w14:paraId="7ED9BA7F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Prueba de resistencia a fluido</w:t>
      </w:r>
      <w:r w:rsidRPr="00347C51">
        <w:rPr>
          <w:rFonts w:ascii="Arial" w:eastAsia="Arial" w:hAnsi="Arial" w:cs="Arial"/>
          <w:color w:val="222222"/>
        </w:rPr>
        <w:t>s F1862 de ASTM a 160 mm HG. Debe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presentar certificado de fábrica.</w:t>
      </w:r>
    </w:p>
    <w:p w14:paraId="7ED9BA80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347C51">
        <w:rPr>
          <w:rFonts w:ascii="Arial" w:eastAsia="Arial" w:hAnsi="Arial" w:cs="Arial"/>
          <w:color w:val="222222"/>
        </w:rPr>
        <w:t>Norma de la FDA 510K, resistencia a salpicaduras de fluidos, sangre y otros materiales potencialmente infecciosos o norma Europea Equivalente.</w:t>
      </w:r>
    </w:p>
    <w:p w14:paraId="7ED9BA81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347C51">
        <w:rPr>
          <w:rFonts w:ascii="Arial" w:eastAsia="Arial" w:hAnsi="Arial" w:cs="Arial"/>
          <w:color w:val="222222"/>
        </w:rPr>
        <w:t>Eficacia de filtración bacteria (BFE) superio</w:t>
      </w:r>
      <w:r w:rsidRPr="00347C51">
        <w:rPr>
          <w:rFonts w:ascii="Arial" w:eastAsia="Arial" w:hAnsi="Arial" w:cs="Arial"/>
          <w:color w:val="222222"/>
        </w:rPr>
        <w:t>r al 99% según norma.</w:t>
      </w:r>
    </w:p>
    <w:p w14:paraId="7ED9BA82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F2101 sociedad americana de pruebas y materiales ASTM. Debe presentar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certificado de fábrica.</w:t>
      </w:r>
    </w:p>
    <w:p w14:paraId="7ED9BA83" w14:textId="77777777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347C51">
        <w:rPr>
          <w:rFonts w:ascii="Arial" w:eastAsia="Arial" w:hAnsi="Arial" w:cs="Arial"/>
          <w:color w:val="222222"/>
        </w:rPr>
        <w:t>Metodología de prueba cualitativa:</w:t>
      </w:r>
    </w:p>
    <w:p w14:paraId="7ED9BA84" w14:textId="355B6B1F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347C51">
        <w:rPr>
          <w:rFonts w:ascii="Arial" w:eastAsia="Arial" w:hAnsi="Arial" w:cs="Arial"/>
          <w:color w:val="222222"/>
        </w:rPr>
        <w:t xml:space="preserve">Se debe presentar muestras, para realizar pruebas de ajuste y verificar la eficiencia del ajuste del </w:t>
      </w:r>
      <w:r w:rsidRPr="00347C51">
        <w:rPr>
          <w:rFonts w:ascii="Arial" w:eastAsia="Arial" w:hAnsi="Arial" w:cs="Arial"/>
          <w:color w:val="222222"/>
        </w:rPr>
        <w:t>respirador utilizando un agente químico de prueba, mediante equipo especializado y certificado para este fin.</w:t>
      </w:r>
    </w:p>
    <w:p w14:paraId="7ED9BA85" w14:textId="735FEAC8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47C51">
        <w:rPr>
          <w:rFonts w:ascii="Arial" w:eastAsia="Arial" w:hAnsi="Arial" w:cs="Arial"/>
          <w:color w:val="222222"/>
        </w:rPr>
        <w:t>Ante la duda en la calidad del producto que pueda poner en riesgo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la salud de los usuarios finales, se reserva el env</w:t>
      </w:r>
      <w:r w:rsidR="00554614">
        <w:rPr>
          <w:rFonts w:ascii="Arial" w:eastAsia="Arial" w:hAnsi="Arial" w:cs="Arial"/>
          <w:color w:val="222222"/>
        </w:rPr>
        <w:t>ío</w:t>
      </w:r>
      <w:r w:rsidRPr="00347C51">
        <w:rPr>
          <w:rFonts w:ascii="Arial" w:eastAsia="Arial" w:hAnsi="Arial" w:cs="Arial"/>
          <w:color w:val="222222"/>
        </w:rPr>
        <w:t xml:space="preserve"> a un análisis</w:t>
      </w:r>
      <w:r w:rsidRPr="00347C51">
        <w:rPr>
          <w:rFonts w:ascii="Arial" w:eastAsia="Arial" w:hAnsi="Arial" w:cs="Arial"/>
          <w:color w:val="222222"/>
        </w:rPr>
        <w:br/>
      </w:r>
      <w:r w:rsidRPr="00347C51">
        <w:rPr>
          <w:rFonts w:ascii="Arial" w:eastAsia="Arial" w:hAnsi="Arial" w:cs="Arial"/>
          <w:color w:val="222222"/>
        </w:rPr>
        <w:t>especializa</w:t>
      </w:r>
      <w:r w:rsidRPr="00347C51">
        <w:rPr>
          <w:rFonts w:ascii="Arial" w:eastAsia="Arial" w:hAnsi="Arial" w:cs="Arial"/>
          <w:color w:val="222222"/>
        </w:rPr>
        <w:t>do </w:t>
      </w:r>
      <w:r w:rsidRPr="00347C51">
        <w:rPr>
          <w:rFonts w:ascii="Arial" w:eastAsia="Arial" w:hAnsi="Arial" w:cs="Arial"/>
          <w:color w:val="222222"/>
        </w:rPr>
        <w:t>a un laboratorio acreditado para su evaluación.</w:t>
      </w:r>
    </w:p>
    <w:p w14:paraId="7ED9BA86" w14:textId="41BEE9C6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347C51">
        <w:rPr>
          <w:rFonts w:ascii="Arial" w:eastAsia="Arial" w:hAnsi="Arial" w:cs="Arial"/>
          <w:color w:val="222222"/>
        </w:rPr>
        <w:lastRenderedPageBreak/>
        <w:t>El año de fabricación debe ser 2020</w:t>
      </w:r>
    </w:p>
    <w:p w14:paraId="7ED9BA87" w14:textId="19357769" w:rsidR="004B1C0C" w:rsidRPr="00347C51" w:rsidRDefault="00D2779A" w:rsidP="00554614">
      <w:pPr>
        <w:pStyle w:val="LO-normal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222222"/>
        </w:rPr>
      </w:pPr>
      <w:r w:rsidRPr="00347C51">
        <w:rPr>
          <w:rFonts w:ascii="Arial" w:eastAsia="Arial" w:hAnsi="Arial" w:cs="Arial"/>
          <w:color w:val="222222"/>
        </w:rPr>
        <w:t xml:space="preserve">Debe disponer de estudios científicos, que demuestra que el respirador </w:t>
      </w:r>
      <w:r w:rsidR="00554614" w:rsidRPr="00347C51">
        <w:rPr>
          <w:rFonts w:ascii="Arial" w:eastAsia="Arial" w:hAnsi="Arial" w:cs="Arial"/>
          <w:color w:val="222222"/>
        </w:rPr>
        <w:t>puede ser</w:t>
      </w:r>
      <w:r w:rsidRPr="00347C51">
        <w:rPr>
          <w:rFonts w:ascii="Arial" w:eastAsia="Arial" w:hAnsi="Arial" w:cs="Arial"/>
          <w:color w:val="222222"/>
        </w:rPr>
        <w:t xml:space="preserve"> reutilizado mediante procesos de desinfección garantizando el sello y características</w:t>
      </w:r>
      <w:r w:rsidRPr="00347C51">
        <w:rPr>
          <w:rFonts w:ascii="Arial" w:eastAsia="Arial" w:hAnsi="Arial" w:cs="Arial"/>
          <w:color w:val="222222"/>
        </w:rPr>
        <w:t xml:space="preserve"> </w:t>
      </w:r>
      <w:r w:rsidR="00554614" w:rsidRPr="00347C51">
        <w:rPr>
          <w:rFonts w:ascii="Arial" w:eastAsia="Arial" w:hAnsi="Arial" w:cs="Arial"/>
          <w:color w:val="222222"/>
        </w:rPr>
        <w:t>físicas del</w:t>
      </w:r>
      <w:r w:rsidRPr="00347C51">
        <w:rPr>
          <w:rFonts w:ascii="Arial" w:eastAsia="Arial" w:hAnsi="Arial" w:cs="Arial"/>
          <w:color w:val="222222"/>
        </w:rPr>
        <w:t xml:space="preserve"> respirador, los estudios deben se realizados por </w:t>
      </w:r>
      <w:r w:rsidRPr="00347C51">
        <w:rPr>
          <w:rFonts w:ascii="Arial" w:eastAsia="Arial" w:hAnsi="Arial" w:cs="Arial"/>
          <w:color w:val="222222"/>
        </w:rPr>
        <w:t>instancias internacionales reconocidas</w:t>
      </w:r>
      <w:r w:rsidRPr="00347C51">
        <w:rPr>
          <w:rFonts w:ascii="Arial" w:eastAsia="Arial" w:hAnsi="Arial" w:cs="Arial"/>
          <w:color w:val="222222"/>
        </w:rPr>
        <w:t xml:space="preserve">. </w:t>
      </w:r>
    </w:p>
    <w:p w14:paraId="7ED9BAA1" w14:textId="77777777" w:rsidR="004B1C0C" w:rsidRDefault="004B1C0C" w:rsidP="00554614">
      <w:pPr>
        <w:pStyle w:val="LO-normal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14:paraId="165D6D44" w14:textId="77777777" w:rsidR="00603CF7" w:rsidRDefault="00603CF7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br w:type="page"/>
      </w:r>
    </w:p>
    <w:p w14:paraId="7ED9BAA2" w14:textId="0E8B703C" w:rsidR="004B1C0C" w:rsidRDefault="00D2779A" w:rsidP="00603CF7">
      <w:pPr>
        <w:pStyle w:val="LO-normal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222222"/>
          <w:highlight w:val="white"/>
        </w:rPr>
        <w:lastRenderedPageBreak/>
        <w:t xml:space="preserve">Ficha técnica de respirador homologado N95 o FFT2 libre de mantenimiento </w:t>
      </w:r>
      <w:r w:rsidRPr="00603CF7">
        <w:rPr>
          <w:rFonts w:ascii="Arial" w:eastAsia="Arial" w:hAnsi="Arial" w:cs="Arial"/>
          <w:b/>
          <w:color w:val="222222"/>
        </w:rPr>
        <w:t xml:space="preserve">(desechable) </w:t>
      </w:r>
      <w:r>
        <w:rPr>
          <w:rFonts w:ascii="Arial" w:eastAsia="Arial" w:hAnsi="Arial" w:cs="Arial"/>
          <w:b/>
          <w:color w:val="222222"/>
          <w:highlight w:val="white"/>
        </w:rPr>
        <w:t>para protección de partículas suspendidas y salpicaduras de fluidos corporales de hasta 0.3 micras.</w:t>
      </w:r>
    </w:p>
    <w:p w14:paraId="7ED9BAA3" w14:textId="77777777" w:rsidR="004B1C0C" w:rsidRDefault="004B1C0C" w:rsidP="00554614">
      <w:pPr>
        <w:pStyle w:val="LO-normal"/>
        <w:spacing w:after="0" w:line="240" w:lineRule="auto"/>
        <w:ind w:left="720"/>
        <w:jc w:val="both"/>
        <w:rPr>
          <w:rFonts w:ascii="Arial" w:eastAsia="Arial" w:hAnsi="Arial" w:cs="Arial"/>
          <w:color w:val="222222"/>
        </w:rPr>
      </w:pPr>
    </w:p>
    <w:p w14:paraId="7ED9BAA5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Con capacidad de filtrado contra material p</w:t>
      </w:r>
      <w:r>
        <w:rPr>
          <w:rFonts w:ascii="Arial" w:eastAsia="Arial" w:hAnsi="Arial" w:cs="Arial"/>
          <w:color w:val="222222"/>
          <w:highlight w:val="white"/>
        </w:rPr>
        <w:t>articipado y agentes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biológicos.</w:t>
      </w:r>
    </w:p>
    <w:p w14:paraId="7ED9BAA6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Eficiencia de filtrado de 95% de las partículas has de 0.3micras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de tamaño.</w:t>
      </w:r>
    </w:p>
    <w:p w14:paraId="7ED9BAA7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El respirador debe cubrir nariz, boca y mentón.</w:t>
      </w:r>
    </w:p>
    <w:p w14:paraId="7ED9BAA8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Con almohadilla nasal de poliuretano.</w:t>
      </w:r>
    </w:p>
    <w:p w14:paraId="7ED9BAA9" w14:textId="3332C958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 xml:space="preserve">Ajuste anatómico, con forma convexa y clip nasal de aluminio </w:t>
      </w:r>
      <w:r>
        <w:rPr>
          <w:rFonts w:ascii="Arial" w:eastAsia="Arial" w:hAnsi="Arial" w:cs="Arial"/>
          <w:color w:val="222222"/>
          <w:highlight w:val="white"/>
        </w:rPr>
        <w:t>que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permita el ajuste facial y </w:t>
      </w:r>
      <w:r>
        <w:rPr>
          <w:rFonts w:ascii="Arial" w:eastAsia="Arial" w:hAnsi="Arial" w:cs="Arial"/>
          <w:color w:val="222222"/>
          <w:highlight w:val="white"/>
        </w:rPr>
        <w:t>genere sello.</w:t>
      </w:r>
    </w:p>
    <w:p w14:paraId="7ED9BAAA" w14:textId="72777F7D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Debe disponer de dos bandas elásticas de ajuste graduable para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asegurar el ajuste y sello.</w:t>
      </w:r>
    </w:p>
    <w:p w14:paraId="7ED9BAAB" w14:textId="6D62D924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Hipoalergénica y libre de látex.</w:t>
      </w:r>
    </w:p>
    <w:p w14:paraId="7ED9BAAC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Debe disponer una vida útil de al menos 2 años, a partir de la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fecha de fabricación</w:t>
      </w:r>
    </w:p>
    <w:p w14:paraId="7ED9BAAD" w14:textId="0431284D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Debe indicar mediante ficha del producto condiciones de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almacenamiento, indicaciones de colocación y </w:t>
      </w:r>
      <w:r>
        <w:rPr>
          <w:rFonts w:ascii="Arial" w:eastAsia="Arial" w:hAnsi="Arial" w:cs="Arial"/>
          <w:color w:val="222222"/>
          <w:highlight w:val="white"/>
        </w:rPr>
        <w:t>retiro.</w:t>
      </w:r>
    </w:p>
    <w:p w14:paraId="7ED9BAAE" w14:textId="6CE3CCF0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Debe cumplir con Prueba cualitativa de </w:t>
      </w:r>
      <w:r>
        <w:rPr>
          <w:rFonts w:ascii="Arial" w:eastAsia="Arial" w:hAnsi="Arial" w:cs="Arial"/>
          <w:color w:val="222222"/>
          <w:highlight w:val="white"/>
        </w:rPr>
        <w:t>ajuste.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Certificación del Instituto de Salud y Seguridad Ocupacional (NIOSH) de Estados Unidos del cumpl</w:t>
      </w:r>
      <w:r>
        <w:rPr>
          <w:rFonts w:ascii="Arial" w:eastAsia="Arial" w:hAnsi="Arial" w:cs="Arial"/>
          <w:color w:val="222222"/>
          <w:highlight w:val="white"/>
        </w:rPr>
        <w:t>imiento de estándar de N95 de la norma 42CFR84 o su equivalente UNE-EN-149-:2001 Clase FFTP2</w:t>
      </w:r>
    </w:p>
    <w:p w14:paraId="7ED9BAAF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Prueba de resistencia a fluidos F1862 de ASTM a 160 mm HG. Debe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presentar certificado de fábrica.</w:t>
      </w:r>
    </w:p>
    <w:p w14:paraId="7ED9BAB0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Norma de la FDA 510K, resistencia a salpicaduras de fluidos, sang</w:t>
      </w:r>
      <w:r>
        <w:rPr>
          <w:rFonts w:ascii="Arial" w:eastAsia="Arial" w:hAnsi="Arial" w:cs="Arial"/>
          <w:color w:val="222222"/>
          <w:highlight w:val="white"/>
        </w:rPr>
        <w:t>re y otros materiales potencialmente infecciosos o norma Europea Equivalente.</w:t>
      </w:r>
    </w:p>
    <w:p w14:paraId="7ED9BAB1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Eficacia de filtración bacteria (BFE) superior al 99% según norma.</w:t>
      </w:r>
    </w:p>
    <w:p w14:paraId="7ED9BAB2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F2101 sociedad americana de pruebas y materiales ASTM. Debe presentar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certificado de fábrica.</w:t>
      </w:r>
    </w:p>
    <w:p w14:paraId="7ED9BAB3" w14:textId="7777777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Metodología de prueba cualitativa:</w:t>
      </w:r>
    </w:p>
    <w:p w14:paraId="7ED9BAB4" w14:textId="48BC3BD7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Se debe presentar muestras, para realizar pruebas de ajuste y verificar la eficiencia del ajuste del respirador utilizando un agente químico de prueba, mediante equipo especializado y certificado para este fin.</w:t>
      </w:r>
    </w:p>
    <w:p w14:paraId="7ED9BAB5" w14:textId="5C21F525" w:rsidR="004B1C0C" w:rsidRDefault="00603CF7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A</w:t>
      </w:r>
      <w:r w:rsidR="00D2779A">
        <w:rPr>
          <w:rFonts w:ascii="Arial" w:eastAsia="Arial" w:hAnsi="Arial" w:cs="Arial"/>
          <w:color w:val="222222"/>
          <w:highlight w:val="white"/>
        </w:rPr>
        <w:t xml:space="preserve">nte </w:t>
      </w:r>
      <w:r w:rsidR="00D2779A">
        <w:rPr>
          <w:rFonts w:ascii="Arial" w:eastAsia="Arial" w:hAnsi="Arial" w:cs="Arial"/>
          <w:color w:val="222222"/>
          <w:highlight w:val="white"/>
        </w:rPr>
        <w:t>la duda en la calidad del producto que pueda poner en riesgo</w:t>
      </w:r>
      <w:r w:rsidR="00D2779A">
        <w:rPr>
          <w:rFonts w:ascii="Arial" w:eastAsia="Arial" w:hAnsi="Arial" w:cs="Arial"/>
          <w:color w:val="222222"/>
        </w:rPr>
        <w:br/>
      </w:r>
      <w:r w:rsidR="00D2779A">
        <w:rPr>
          <w:rFonts w:ascii="Arial" w:eastAsia="Arial" w:hAnsi="Arial" w:cs="Arial"/>
          <w:color w:val="222222"/>
          <w:highlight w:val="white"/>
        </w:rPr>
        <w:t>la salud de los usuarios finales, se reserva el env</w:t>
      </w:r>
      <w:r>
        <w:rPr>
          <w:rFonts w:ascii="Arial" w:eastAsia="Arial" w:hAnsi="Arial" w:cs="Arial"/>
          <w:color w:val="222222"/>
          <w:highlight w:val="white"/>
        </w:rPr>
        <w:t>ío</w:t>
      </w:r>
      <w:r w:rsidR="00D2779A">
        <w:rPr>
          <w:rFonts w:ascii="Arial" w:eastAsia="Arial" w:hAnsi="Arial" w:cs="Arial"/>
          <w:color w:val="222222"/>
          <w:highlight w:val="white"/>
        </w:rPr>
        <w:t xml:space="preserve"> a un análisis</w:t>
      </w:r>
      <w:r w:rsidR="00D2779A">
        <w:rPr>
          <w:rFonts w:ascii="Arial" w:eastAsia="Arial" w:hAnsi="Arial" w:cs="Arial"/>
          <w:color w:val="222222"/>
        </w:rPr>
        <w:br/>
      </w:r>
      <w:r w:rsidR="00D2779A">
        <w:rPr>
          <w:rFonts w:ascii="Arial" w:eastAsia="Arial" w:hAnsi="Arial" w:cs="Arial"/>
          <w:color w:val="222222"/>
          <w:highlight w:val="white"/>
        </w:rPr>
        <w:t>especializado </w:t>
      </w:r>
      <w:r w:rsidR="00D2779A">
        <w:rPr>
          <w:rFonts w:ascii="Arial" w:eastAsia="Arial" w:hAnsi="Arial" w:cs="Arial"/>
          <w:color w:val="222222"/>
          <w:highlight w:val="white"/>
        </w:rPr>
        <w:t>a un laboratorio acreditado para su evaluación.</w:t>
      </w:r>
    </w:p>
    <w:p w14:paraId="7ED9BAB6" w14:textId="75D96C0A" w:rsidR="004B1C0C" w:rsidRDefault="00D2779A" w:rsidP="00AD68A1">
      <w:pPr>
        <w:pStyle w:val="LO-normal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lastRenderedPageBreak/>
        <w:t>El año de fabricación debe ser 202</w:t>
      </w:r>
      <w:r w:rsidR="00603CF7">
        <w:rPr>
          <w:rFonts w:ascii="Arial" w:eastAsia="Arial" w:hAnsi="Arial" w:cs="Arial"/>
          <w:color w:val="222222"/>
          <w:highlight w:val="white"/>
        </w:rPr>
        <w:t>0</w:t>
      </w:r>
    </w:p>
    <w:p w14:paraId="7ED9BAB7" w14:textId="77777777" w:rsidR="004B1C0C" w:rsidRDefault="004B1C0C" w:rsidP="00554614">
      <w:pPr>
        <w:pStyle w:val="LO-normal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14:paraId="7ED9BAB8" w14:textId="77777777" w:rsidR="004B1C0C" w:rsidRDefault="00D2779A" w:rsidP="00554614">
      <w:pPr>
        <w:jc w:val="both"/>
        <w:rPr>
          <w:rFonts w:ascii="Arial" w:eastAsia="Arial" w:hAnsi="Arial" w:cs="Arial"/>
          <w:color w:val="222222"/>
          <w:highlight w:val="white"/>
        </w:rPr>
      </w:pPr>
      <w:r>
        <w:br w:type="page"/>
      </w:r>
    </w:p>
    <w:p w14:paraId="7ED9BABA" w14:textId="1CB7F01E" w:rsidR="004B1C0C" w:rsidRDefault="00D2779A" w:rsidP="00603CF7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lastRenderedPageBreak/>
        <w:t>Ficha técnica de b</w:t>
      </w:r>
      <w:r>
        <w:rPr>
          <w:rFonts w:ascii="Arial" w:eastAsia="Arial" w:hAnsi="Arial" w:cs="Arial"/>
          <w:b/>
          <w:color w:val="222222"/>
          <w:highlight w:val="white"/>
        </w:rPr>
        <w:t xml:space="preserve">ata impermeable limpia descartable (nivel 3) </w:t>
      </w:r>
    </w:p>
    <w:p w14:paraId="7ED9BABB" w14:textId="77777777" w:rsidR="004B1C0C" w:rsidRDefault="004B1C0C" w:rsidP="00554614">
      <w:pPr>
        <w:pStyle w:val="LO-normal"/>
        <w:spacing w:after="0" w:line="240" w:lineRule="auto"/>
        <w:ind w:left="720"/>
        <w:jc w:val="both"/>
        <w:rPr>
          <w:rFonts w:ascii="Arial" w:eastAsia="Arial" w:hAnsi="Arial" w:cs="Arial"/>
          <w:b/>
          <w:color w:val="222222"/>
        </w:rPr>
      </w:pPr>
    </w:p>
    <w:p w14:paraId="7ED9BABC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Material: capas fundidas de polipropileno no tejido, sin costuras de una sola pieza.</w:t>
      </w:r>
    </w:p>
    <w:p w14:paraId="7ED9BABD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Tela Ultra SMS</w:t>
      </w:r>
    </w:p>
    <w:p w14:paraId="7ED9BABE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Impermeabilidad completa (frente y posterior)</w:t>
      </w:r>
    </w:p>
    <w:p w14:paraId="7ED9BABF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Tamaños M, L, XL debe cumplir con dimensiones de largo entre 10</w:t>
      </w:r>
      <w:r>
        <w:rPr>
          <w:rFonts w:ascii="Arial" w:eastAsia="Arial" w:hAnsi="Arial" w:cs="Arial"/>
          <w:color w:val="222222"/>
          <w:highlight w:val="white"/>
        </w:rPr>
        <w:t>9cm y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125 cm</w:t>
      </w:r>
    </w:p>
    <w:p w14:paraId="7ED9BAC0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Manga larga con puño de algodón que ajuste la circunferencia del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antebrazo y la muñeca</w:t>
      </w:r>
    </w:p>
    <w:p w14:paraId="7ED9BAC1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Cierre de la bata en la parte posterior mediante faja delantera sin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costuras. El cuello debe disponer de cierre ajustable de velcro con cinta adhesiva.</w:t>
      </w:r>
    </w:p>
    <w:p w14:paraId="7ED9BAC2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Impe</w:t>
      </w:r>
      <w:r>
        <w:rPr>
          <w:rFonts w:ascii="Arial" w:eastAsia="Arial" w:hAnsi="Arial" w:cs="Arial"/>
          <w:color w:val="222222"/>
          <w:highlight w:val="white"/>
        </w:rPr>
        <w:t>rmeabilidad nivel 3.</w:t>
      </w:r>
    </w:p>
    <w:p w14:paraId="7ED9BAC3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Debe cumplir con las pruebas de laboratorio: resistencia al agua, prueba AATC42 (prueba de penetración de impacto) y prueba de presión hidrostática (AATCC127) según estándar de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Association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for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the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Advencement.of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Medical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Instrumentat</w:t>
      </w:r>
      <w:r>
        <w:rPr>
          <w:rFonts w:ascii="Arial" w:eastAsia="Arial" w:hAnsi="Arial" w:cs="Arial"/>
          <w:color w:val="222222"/>
          <w:highlight w:val="white"/>
        </w:rPr>
        <w:t>ion</w:t>
      </w:r>
      <w:proofErr w:type="spellEnd"/>
      <w:r>
        <w:rPr>
          <w:rFonts w:ascii="Arial" w:eastAsia="Arial" w:hAnsi="Arial" w:cs="Arial"/>
          <w:color w:val="222222"/>
          <w:highlight w:val="white"/>
        </w:rPr>
        <w:t>)</w:t>
      </w:r>
    </w:p>
    <w:p w14:paraId="7ED9BAC4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Resistente a abrasión, cumpliendo con la norma ASTMD4966</w:t>
      </w:r>
    </w:p>
    <w:p w14:paraId="7ED9BAC5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En calidad con la norma ISO 13485 gestión calidad de dispositivos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médicos.</w:t>
      </w:r>
    </w:p>
    <w:p w14:paraId="7ED9BAC6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Debe disponer de etiqueta que indique su nivel de impermeabilidad.</w:t>
      </w:r>
    </w:p>
    <w:p w14:paraId="7ED9BAC7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Certificado de acreditación del producto por FDA o C</w:t>
      </w:r>
      <w:r>
        <w:rPr>
          <w:rFonts w:ascii="Arial" w:eastAsia="Arial" w:hAnsi="Arial" w:cs="Arial"/>
          <w:color w:val="222222"/>
          <w:highlight w:val="white"/>
        </w:rPr>
        <w:t>E </w:t>
      </w:r>
    </w:p>
    <w:p w14:paraId="7ED9BAC8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Hipoalérgenica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libre de látex.</w:t>
      </w:r>
    </w:p>
    <w:p w14:paraId="7ED9BAC9" w14:textId="77777777" w:rsidR="004B1C0C" w:rsidRDefault="00D2779A" w:rsidP="00F85E10">
      <w:pPr>
        <w:pStyle w:val="LO-normal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El año de fabricación debe ser 2020.</w:t>
      </w:r>
    </w:p>
    <w:p w14:paraId="7ED9BACA" w14:textId="77777777" w:rsidR="004B1C0C" w:rsidRDefault="004B1C0C" w:rsidP="00554614">
      <w:pPr>
        <w:pStyle w:val="LO-normal"/>
        <w:spacing w:after="0" w:line="240" w:lineRule="auto"/>
        <w:ind w:left="720"/>
        <w:jc w:val="both"/>
        <w:rPr>
          <w:rFonts w:ascii="Arial" w:eastAsia="Arial" w:hAnsi="Arial" w:cs="Arial"/>
          <w:color w:val="222222"/>
          <w:highlight w:val="white"/>
        </w:rPr>
      </w:pPr>
    </w:p>
    <w:p w14:paraId="20DE636B" w14:textId="77777777" w:rsidR="00AD68A1" w:rsidRDefault="00AD68A1">
      <w:pP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br w:type="page"/>
      </w:r>
    </w:p>
    <w:p w14:paraId="7ED9BAD5" w14:textId="36B03497" w:rsidR="004B1C0C" w:rsidRDefault="00D2779A" w:rsidP="00AD68A1">
      <w:pPr>
        <w:pStyle w:val="LO-normal"/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222222"/>
          <w:highlight w:val="white"/>
        </w:rPr>
        <w:lastRenderedPageBreak/>
        <w:t>Ficha técnica de Guantes limpios descartable</w:t>
      </w:r>
    </w:p>
    <w:p w14:paraId="7ED9BAD6" w14:textId="77777777" w:rsidR="004B1C0C" w:rsidRDefault="004B1C0C" w:rsidP="00554614">
      <w:pPr>
        <w:pStyle w:val="LO-normal"/>
        <w:widowControl w:val="0"/>
        <w:spacing w:after="0" w:line="240" w:lineRule="auto"/>
        <w:ind w:firstLine="360"/>
        <w:jc w:val="both"/>
        <w:rPr>
          <w:rFonts w:ascii="Arial" w:eastAsia="Arial" w:hAnsi="Arial" w:cs="Arial"/>
          <w:b/>
          <w:color w:val="222222"/>
          <w:highlight w:val="white"/>
        </w:rPr>
      </w:pPr>
    </w:p>
    <w:p w14:paraId="7ED9BAD7" w14:textId="77777777" w:rsidR="004B1C0C" w:rsidRDefault="00D2779A" w:rsidP="00AD68A1">
      <w:pPr>
        <w:pStyle w:val="LO-normal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Labores cotidianas: se recomienda guantes más flexibles y menos resistentes, por lo que deben cumplir con:</w:t>
      </w:r>
    </w:p>
    <w:p w14:paraId="7ED9BAD8" w14:textId="77777777" w:rsidR="004B1C0C" w:rsidRDefault="00D2779A" w:rsidP="00AD68A1">
      <w:pPr>
        <w:pStyle w:val="LO-normal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Prueba de </w:t>
      </w:r>
      <w:r>
        <w:rPr>
          <w:rFonts w:ascii="Arial" w:eastAsia="Arial" w:hAnsi="Arial" w:cs="Arial"/>
          <w:color w:val="222222"/>
          <w:highlight w:val="white"/>
        </w:rPr>
        <w:t>abrasión (ASTM D3884-10, ASTM D3884-09): Nivel 0 (&lt;100 ciclos).</w:t>
      </w:r>
    </w:p>
    <w:p w14:paraId="7ED9BAD9" w14:textId="77777777" w:rsidR="004B1C0C" w:rsidRDefault="00D2779A" w:rsidP="00AD68A1">
      <w:pPr>
        <w:pStyle w:val="LO-normal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Pruebas de corte (ASTM F2992-15): Nivel A1 (&gt;200 gramos).</w:t>
      </w:r>
    </w:p>
    <w:p w14:paraId="7ED9BADA" w14:textId="77777777" w:rsidR="004B1C0C" w:rsidRDefault="00D2779A" w:rsidP="00AD68A1">
      <w:pPr>
        <w:pStyle w:val="LO-normal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Punción: No relevante.</w:t>
      </w:r>
    </w:p>
    <w:p w14:paraId="7ED9BADB" w14:textId="77777777" w:rsidR="004B1C0C" w:rsidRDefault="00D2779A" w:rsidP="00AD68A1">
      <w:pPr>
        <w:pStyle w:val="LO-normal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Índice de permeación (ASTM F739-12): 3 (&gt; 60 min).</w:t>
      </w:r>
    </w:p>
    <w:p w14:paraId="7ED9BADC" w14:textId="77777777" w:rsidR="004B1C0C" w:rsidRDefault="00D2779A" w:rsidP="00AD68A1">
      <w:pPr>
        <w:pStyle w:val="LO-normal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Materiales: Se recomiendan guantes de nitrilo.</w:t>
      </w:r>
    </w:p>
    <w:p w14:paraId="7ED9BADD" w14:textId="77777777" w:rsidR="004B1C0C" w:rsidRDefault="004B1C0C" w:rsidP="00554614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14:paraId="3FA7ECED" w14:textId="77777777" w:rsidR="00AD68A1" w:rsidRDefault="00AD68A1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br w:type="page"/>
      </w:r>
    </w:p>
    <w:p w14:paraId="7ED9BAF6" w14:textId="24BE9D5E" w:rsidR="004B1C0C" w:rsidRDefault="00D2779A" w:rsidP="00AD68A1">
      <w:pPr>
        <w:pStyle w:val="LO-normal"/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222222"/>
          <w:highlight w:val="white"/>
        </w:rPr>
        <w:lastRenderedPageBreak/>
        <w:t>Fichas técnicas lentes de protección</w:t>
      </w:r>
    </w:p>
    <w:p w14:paraId="7ED9BAF7" w14:textId="77777777" w:rsidR="004B1C0C" w:rsidRDefault="004B1C0C" w:rsidP="00AD68A1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7ED9BAF8" w14:textId="77777777" w:rsidR="004B1C0C" w:rsidRDefault="00D2779A" w:rsidP="00AD68A1">
      <w:pPr>
        <w:pStyle w:val="LO-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Lentes claros de protección </w:t>
      </w:r>
      <w:proofErr w:type="spellStart"/>
      <w:r>
        <w:rPr>
          <w:rFonts w:ascii="Arial" w:eastAsia="Arial" w:hAnsi="Arial" w:cs="Arial"/>
          <w:color w:val="000000"/>
        </w:rPr>
        <w:t>antiempañantes</w:t>
      </w:r>
      <w:proofErr w:type="spellEnd"/>
      <w:r>
        <w:rPr>
          <w:rFonts w:ascii="Arial" w:eastAsia="Arial" w:hAnsi="Arial" w:cs="Arial"/>
          <w:color w:val="000000"/>
        </w:rPr>
        <w:t xml:space="preserve"> de policarbonato.</w:t>
      </w:r>
    </w:p>
    <w:p w14:paraId="7ED9BAF9" w14:textId="77777777" w:rsidR="004B1C0C" w:rsidRDefault="00D2779A" w:rsidP="00AD68A1">
      <w:pPr>
        <w:pStyle w:val="LO-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lentes deberán permitir contar que los lentes se ajusten naturalmente a los tamaños de cabeza individuales sin hacer presión en la sien</w:t>
      </w:r>
      <w:r>
        <w:rPr>
          <w:rFonts w:ascii="Arial" w:eastAsia="Arial" w:hAnsi="Arial" w:cs="Arial"/>
          <w:color w:val="000000"/>
        </w:rPr>
        <w:t xml:space="preserve"> del trabajador, además debe permitir que las gafas se queden en su lugar sin deslizarse, incluso cuando la persona está en movimiento. </w:t>
      </w:r>
    </w:p>
    <w:p w14:paraId="7ED9BAFA" w14:textId="77777777" w:rsidR="004B1C0C" w:rsidRDefault="00D2779A" w:rsidP="00AD68A1">
      <w:pPr>
        <w:pStyle w:val="LO-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Los lentes estarán diseñados para difundir la presión sobre las orejas, las gafas se deben ajustar a la cabeza y las </w:t>
      </w:r>
      <w:r>
        <w:rPr>
          <w:rFonts w:ascii="Arial" w:eastAsia="Arial" w:hAnsi="Arial" w:cs="Arial"/>
          <w:color w:val="000000"/>
        </w:rPr>
        <w:t>características faciales del usuario.</w:t>
      </w:r>
    </w:p>
    <w:p w14:paraId="7ED9BAFB" w14:textId="77777777" w:rsidR="004B1C0C" w:rsidRDefault="00D2779A" w:rsidP="00AD68A1">
      <w:pPr>
        <w:pStyle w:val="LO-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lente deberá proporcionar protección contra la radiación UVA de un 99.9% y UVB hasta 380 nm.</w:t>
      </w:r>
    </w:p>
    <w:p w14:paraId="7ED9BAFC" w14:textId="77777777" w:rsidR="004B1C0C" w:rsidRDefault="00D2779A" w:rsidP="00AD68A1">
      <w:pPr>
        <w:pStyle w:val="LO-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ancho del lente deberá ser de 0.33 cm y el peso no superará 1 oz.</w:t>
      </w:r>
    </w:p>
    <w:p w14:paraId="7ED9BB14" w14:textId="67387D8C" w:rsidR="004B1C0C" w:rsidRPr="00AD68A1" w:rsidRDefault="00D2779A" w:rsidP="00AD68A1">
      <w:pPr>
        <w:pStyle w:val="LO-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lente deberá contar con las aprobaciones ANSI Z87.</w:t>
      </w:r>
      <w:r>
        <w:rPr>
          <w:rFonts w:ascii="Arial" w:eastAsia="Arial" w:hAnsi="Arial" w:cs="Arial"/>
          <w:color w:val="000000"/>
        </w:rPr>
        <w:t>1-2015 y CSA Z94.3</w:t>
      </w:r>
    </w:p>
    <w:sectPr w:rsidR="004B1C0C" w:rsidRPr="00AD68A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851" w:footer="851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0E38" w14:textId="77777777" w:rsidR="00D2779A" w:rsidRDefault="00D2779A">
      <w:pPr>
        <w:spacing w:after="0" w:line="240" w:lineRule="auto"/>
      </w:pPr>
      <w:r>
        <w:separator/>
      </w:r>
    </w:p>
  </w:endnote>
  <w:endnote w:type="continuationSeparator" w:id="0">
    <w:p w14:paraId="55965ABA" w14:textId="77777777" w:rsidR="00D2779A" w:rsidRDefault="00D2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BB1D" w14:textId="77777777" w:rsidR="004B1C0C" w:rsidRDefault="00D2779A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  <w:r>
      <w:rPr>
        <w:noProof/>
        <w:color w:val="000000"/>
        <w:sz w:val="8"/>
        <w:szCs w:val="8"/>
      </w:rPr>
      <w:drawing>
        <wp:anchor distT="0" distB="101600" distL="0" distR="0" simplePos="0" relativeHeight="11" behindDoc="1" locked="0" layoutInCell="1" allowOverlap="1" wp14:anchorId="7ED9BB3D" wp14:editId="7ED9BB3E">
          <wp:simplePos x="0" y="0"/>
          <wp:positionH relativeFrom="column">
            <wp:posOffset>3388360</wp:posOffset>
          </wp:positionH>
          <wp:positionV relativeFrom="paragraph">
            <wp:posOffset>112395</wp:posOffset>
          </wp:positionV>
          <wp:extent cx="706755" cy="655320"/>
          <wp:effectExtent l="0" t="0" r="0" b="0"/>
          <wp:wrapSquare wrapText="bothSides"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9BB1E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1F" w14:textId="77777777" w:rsidR="004B1C0C" w:rsidRDefault="00D2779A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  <w:r>
      <w:rPr>
        <w:noProof/>
        <w:color w:val="000000"/>
        <w:sz w:val="8"/>
        <w:szCs w:val="8"/>
      </w:rPr>
      <w:drawing>
        <wp:anchor distT="0" distB="101600" distL="0" distR="0" simplePos="0" relativeHeight="20" behindDoc="1" locked="0" layoutInCell="1" allowOverlap="1" wp14:anchorId="7ED9BB3F" wp14:editId="7ED9BB40">
          <wp:simplePos x="0" y="0"/>
          <wp:positionH relativeFrom="column">
            <wp:posOffset>4337050</wp:posOffset>
          </wp:positionH>
          <wp:positionV relativeFrom="paragraph">
            <wp:posOffset>31115</wp:posOffset>
          </wp:positionV>
          <wp:extent cx="1189990" cy="600710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9BB20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1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2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3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4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5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6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7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8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9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2A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  <w:sz w:val="8"/>
        <w:szCs w:val="8"/>
      </w:rPr>
    </w:pPr>
  </w:p>
  <w:p w14:paraId="7ED9BB2B" w14:textId="77777777" w:rsidR="004B1C0C" w:rsidRDefault="00D2779A">
    <w:pPr>
      <w:pStyle w:val="LO-normal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 xml:space="preserve">2511-6830 </w:t>
    </w:r>
    <w:proofErr w:type="gramStart"/>
    <w:r>
      <w:rPr>
        <w:rFonts w:ascii="Times New Roman" w:eastAsia="Times New Roman" w:hAnsi="Times New Roman" w:cs="Times New Roman"/>
        <w:color w:val="808080"/>
        <w:sz w:val="20"/>
        <w:szCs w:val="20"/>
      </w:rPr>
      <w:t>/  https://obs.ucr.ac.cr/</w:t>
    </w:r>
    <w:proofErr w:type="gramEnd"/>
    <w:r>
      <w:rPr>
        <w:rFonts w:ascii="Times New Roman" w:eastAsia="Times New Roman" w:hAnsi="Times New Roman" w:cs="Times New Roman"/>
        <w:color w:val="808080"/>
        <w:sz w:val="20"/>
        <w:szCs w:val="20"/>
      </w:rPr>
      <w:t xml:space="preserve">  salud.ocupacional@ucr.ac.cr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BB32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8"/>
        <w:szCs w:val="8"/>
      </w:rPr>
    </w:pPr>
  </w:p>
  <w:p w14:paraId="7ED9BB33" w14:textId="77777777" w:rsidR="004B1C0C" w:rsidRDefault="00D2779A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101600" distL="0" distR="0" simplePos="0" relativeHeight="21" behindDoc="1" locked="0" layoutInCell="1" allowOverlap="1" wp14:anchorId="7ED9BB45" wp14:editId="7ED9BB46">
          <wp:simplePos x="0" y="0"/>
          <wp:positionH relativeFrom="column">
            <wp:posOffset>3388360</wp:posOffset>
          </wp:positionH>
          <wp:positionV relativeFrom="paragraph">
            <wp:posOffset>112395</wp:posOffset>
          </wp:positionV>
          <wp:extent cx="706755" cy="655320"/>
          <wp:effectExtent l="0" t="0" r="0" b="0"/>
          <wp:wrapSquare wrapText="bothSides"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101600" distL="0" distR="0" simplePos="0" relativeHeight="22" behindDoc="1" locked="0" layoutInCell="1" allowOverlap="1" wp14:anchorId="7ED9BB47" wp14:editId="7ED9BB48">
          <wp:simplePos x="0" y="0"/>
          <wp:positionH relativeFrom="column">
            <wp:posOffset>4337050</wp:posOffset>
          </wp:positionH>
          <wp:positionV relativeFrom="paragraph">
            <wp:posOffset>123825</wp:posOffset>
          </wp:positionV>
          <wp:extent cx="1189990" cy="600710"/>
          <wp:effectExtent l="0" t="0" r="0" b="0"/>
          <wp:wrapSquare wrapText="bothSides"/>
          <wp:docPr id="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9BB34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7ED9BB35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7ED9BB36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7ED9BB37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7ED9BB38" w14:textId="77777777" w:rsidR="004B1C0C" w:rsidRDefault="00D2779A">
    <w:pPr>
      <w:pStyle w:val="LO-normal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 xml:space="preserve">2511-6830 </w:t>
    </w:r>
    <w:proofErr w:type="gramStart"/>
    <w:r>
      <w:rPr>
        <w:rFonts w:ascii="Times New Roman" w:eastAsia="Times New Roman" w:hAnsi="Times New Roman" w:cs="Times New Roman"/>
        <w:color w:val="808080"/>
        <w:sz w:val="20"/>
        <w:szCs w:val="20"/>
      </w:rPr>
      <w:t>/  https://obs.ucr.ac.cr/</w:t>
    </w:r>
    <w:proofErr w:type="gramEnd"/>
    <w:r>
      <w:rPr>
        <w:rFonts w:ascii="Times New Roman" w:eastAsia="Times New Roman" w:hAnsi="Times New Roman" w:cs="Times New Roman"/>
        <w:color w:val="808080"/>
        <w:sz w:val="20"/>
        <w:szCs w:val="20"/>
      </w:rPr>
      <w:t xml:space="preserve">  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salud.ocupacional@ucr.ac.cr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D852" w14:textId="77777777" w:rsidR="00D2779A" w:rsidRDefault="00D2779A">
      <w:pPr>
        <w:spacing w:after="0" w:line="240" w:lineRule="auto"/>
      </w:pPr>
      <w:r>
        <w:separator/>
      </w:r>
    </w:p>
  </w:footnote>
  <w:footnote w:type="continuationSeparator" w:id="0">
    <w:p w14:paraId="3BE96983" w14:textId="77777777" w:rsidR="00D2779A" w:rsidRDefault="00D2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38" w:type="dxa"/>
      <w:tblInd w:w="-7" w:type="dxa"/>
      <w:tblLook w:val="0000" w:firstRow="0" w:lastRow="0" w:firstColumn="0" w:lastColumn="0" w:noHBand="0" w:noVBand="0"/>
    </w:tblPr>
    <w:tblGrid>
      <w:gridCol w:w="2976"/>
      <w:gridCol w:w="1580"/>
      <w:gridCol w:w="4282"/>
    </w:tblGrid>
    <w:tr w:rsidR="004B1C0C" w14:paraId="7ED9BB19" w14:textId="77777777" w:rsidTr="00F105A6">
      <w:trPr>
        <w:trHeight w:val="1003"/>
      </w:trPr>
      <w:tc>
        <w:tcPr>
          <w:tcW w:w="2976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</w:tcPr>
        <w:p w14:paraId="7ED9BB16" w14:textId="77777777" w:rsidR="004B1C0C" w:rsidRDefault="00D2779A">
          <w:pPr>
            <w:pStyle w:val="LO-normal"/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D9BB39" wp14:editId="7ED9BB3A">
                <wp:extent cx="1752600" cy="666750"/>
                <wp:effectExtent l="0" t="0" r="0" b="0"/>
                <wp:docPr id="1" name="image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574" t="21865" r="11574" b="218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14:paraId="7ED9BB17" w14:textId="77777777" w:rsidR="004B1C0C" w:rsidRDefault="004B1C0C">
          <w:pPr>
            <w:pStyle w:val="LO-normal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4282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14:paraId="7ED9BB18" w14:textId="77777777" w:rsidR="004B1C0C" w:rsidRDefault="00D2779A">
          <w:pPr>
            <w:pStyle w:val="LO-normal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D9BB3B" wp14:editId="7ED9BB3C">
                <wp:extent cx="1714500" cy="742950"/>
                <wp:effectExtent l="0" t="0" r="0" b="0"/>
                <wp:docPr id="2" name="image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D9BB1A" w14:textId="77777777" w:rsidR="004B1C0C" w:rsidRDefault="00D2779A">
    <w:pPr>
      <w:pStyle w:val="LO-normal"/>
      <w:tabs>
        <w:tab w:val="center" w:pos="4252"/>
        <w:tab w:val="right" w:pos="8504"/>
      </w:tabs>
      <w:spacing w:after="0" w:line="240" w:lineRule="auto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Página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10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7ED9BB1B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7ED9BB1C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BB2C" w14:textId="77777777" w:rsidR="004B1C0C" w:rsidRDefault="004B1C0C">
    <w:pPr>
      <w:pStyle w:val="LO-normal"/>
      <w:widowControl w:val="0"/>
      <w:spacing w:after="0"/>
    </w:pPr>
  </w:p>
  <w:tbl>
    <w:tblPr>
      <w:tblW w:w="8838" w:type="dxa"/>
      <w:tblInd w:w="-7" w:type="dxa"/>
      <w:tblLook w:val="0000" w:firstRow="0" w:lastRow="0" w:firstColumn="0" w:lastColumn="0" w:noHBand="0" w:noVBand="0"/>
    </w:tblPr>
    <w:tblGrid>
      <w:gridCol w:w="2976"/>
      <w:gridCol w:w="1575"/>
      <w:gridCol w:w="4287"/>
    </w:tblGrid>
    <w:tr w:rsidR="004B1C0C" w14:paraId="7ED9BB30" w14:textId="77777777">
      <w:trPr>
        <w:trHeight w:val="867"/>
      </w:trPr>
      <w:tc>
        <w:tcPr>
          <w:tcW w:w="2897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</w:tcPr>
        <w:p w14:paraId="7ED9BB2D" w14:textId="77777777" w:rsidR="004B1C0C" w:rsidRDefault="00D2779A">
          <w:pPr>
            <w:pStyle w:val="LO-normal"/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D9BB41" wp14:editId="7ED9BB42">
                <wp:extent cx="1752600" cy="666750"/>
                <wp:effectExtent l="0" t="0" r="0" b="0"/>
                <wp:docPr id="3" name="image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574" t="21865" r="11574" b="218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9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14:paraId="7ED9BB2E" w14:textId="77777777" w:rsidR="004B1C0C" w:rsidRDefault="004B1C0C">
          <w:pPr>
            <w:pStyle w:val="LO-normal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4322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14:paraId="7ED9BB2F" w14:textId="77777777" w:rsidR="004B1C0C" w:rsidRDefault="00D2779A">
          <w:pPr>
            <w:pStyle w:val="LO-normal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935" distR="114935" simplePos="0" relativeHeight="2" behindDoc="1" locked="0" layoutInCell="1" allowOverlap="1" wp14:anchorId="7ED9BB43" wp14:editId="7ED9BB44">
                <wp:simplePos x="0" y="0"/>
                <wp:positionH relativeFrom="column">
                  <wp:posOffset>843915</wp:posOffset>
                </wp:positionH>
                <wp:positionV relativeFrom="paragraph">
                  <wp:posOffset>-1036320</wp:posOffset>
                </wp:positionV>
                <wp:extent cx="1899920" cy="826770"/>
                <wp:effectExtent l="0" t="0" r="0" b="0"/>
                <wp:wrapTopAndBottom/>
                <wp:docPr id="4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826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0" w:name="3znysh7"/>
          <w:bookmarkStart w:id="1" w:name="1fob9te"/>
          <w:bookmarkStart w:id="2" w:name="30j0zll"/>
          <w:bookmarkEnd w:id="0"/>
          <w:bookmarkEnd w:id="1"/>
          <w:bookmarkEnd w:id="2"/>
        </w:p>
      </w:tc>
    </w:tr>
  </w:tbl>
  <w:p w14:paraId="7ED9BB31" w14:textId="77777777" w:rsidR="004B1C0C" w:rsidRDefault="004B1C0C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8A5"/>
    <w:multiLevelType w:val="multilevel"/>
    <w:tmpl w:val="40F08CC6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D6051"/>
    <w:multiLevelType w:val="multilevel"/>
    <w:tmpl w:val="B65EAF56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1F67E2"/>
    <w:multiLevelType w:val="multilevel"/>
    <w:tmpl w:val="0A0A7CB8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A8686C"/>
    <w:multiLevelType w:val="multilevel"/>
    <w:tmpl w:val="7AEE5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425BCE"/>
    <w:multiLevelType w:val="multilevel"/>
    <w:tmpl w:val="7472CA3C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F342C0"/>
    <w:multiLevelType w:val="multilevel"/>
    <w:tmpl w:val="F52E8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31114C"/>
    <w:multiLevelType w:val="multilevel"/>
    <w:tmpl w:val="6EBCC4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9503C"/>
    <w:multiLevelType w:val="multilevel"/>
    <w:tmpl w:val="AFD037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3E31F9"/>
    <w:multiLevelType w:val="hybridMultilevel"/>
    <w:tmpl w:val="C526B5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DD4B2A"/>
    <w:multiLevelType w:val="multilevel"/>
    <w:tmpl w:val="9E300B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616CC9"/>
    <w:multiLevelType w:val="multilevel"/>
    <w:tmpl w:val="4448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5E1CD3"/>
    <w:multiLevelType w:val="multilevel"/>
    <w:tmpl w:val="24EE0A5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4420D2"/>
    <w:multiLevelType w:val="multilevel"/>
    <w:tmpl w:val="81762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0C"/>
    <w:rsid w:val="00347C51"/>
    <w:rsid w:val="00425F14"/>
    <w:rsid w:val="004B1C0C"/>
    <w:rsid w:val="005172FE"/>
    <w:rsid w:val="00554614"/>
    <w:rsid w:val="00603CF7"/>
    <w:rsid w:val="007D2BAE"/>
    <w:rsid w:val="00AD68A1"/>
    <w:rsid w:val="00BD57B0"/>
    <w:rsid w:val="00D2779A"/>
    <w:rsid w:val="00F105A6"/>
    <w:rsid w:val="00F8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BA32"/>
  <w15:docId w15:val="{DC191AF7-6A1B-42EA-ABF3-2CDD2B21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CR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24"/>
    <w:pPr>
      <w:spacing w:after="200" w:line="276" w:lineRule="auto"/>
    </w:pPr>
  </w:style>
  <w:style w:type="paragraph" w:styleId="Ttulo1">
    <w:name w:val="heading 1"/>
    <w:basedOn w:val="LO-normal"/>
    <w:next w:val="LO-normal"/>
    <w:qFormat/>
    <w:rsid w:val="005A3AEE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LO-normal"/>
    <w:next w:val="LO-normal"/>
    <w:qFormat/>
    <w:rsid w:val="005A3A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rsid w:val="005A3A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5A3AE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rsid w:val="005A3A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rsid w:val="005A3A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66D4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66D4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66D46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5A3AEE"/>
    <w:pPr>
      <w:spacing w:after="200" w:line="276" w:lineRule="auto"/>
    </w:pPr>
  </w:style>
  <w:style w:type="paragraph" w:styleId="Ttulo">
    <w:name w:val="Title"/>
    <w:basedOn w:val="LO-normal"/>
    <w:next w:val="LO-normal"/>
    <w:qFormat/>
    <w:rsid w:val="005A3AE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LO-normal"/>
    <w:next w:val="LO-normal"/>
    <w:qFormat/>
    <w:rsid w:val="005A3A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6D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66D4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66D46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2695"/>
    <w:pPr>
      <w:ind w:left="720"/>
      <w:contextualSpacing/>
    </w:pPr>
  </w:style>
  <w:style w:type="table" w:customStyle="1" w:styleId="TableNormal">
    <w:name w:val="Table Normal"/>
    <w:rsid w:val="005A3AE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1465</Words>
  <Characters>8060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BRENES</dc:creator>
  <dc:description/>
  <cp:lastModifiedBy>Allan Eduardo Jiménez Alpízar</cp:lastModifiedBy>
  <cp:revision>12</cp:revision>
  <dcterms:created xsi:type="dcterms:W3CDTF">2020-06-26T14:29:00Z</dcterms:created>
  <dcterms:modified xsi:type="dcterms:W3CDTF">2020-06-29T19:55:00Z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